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52CC82" w14:textId="77777777" w:rsidR="003D3B4D" w:rsidRPr="003D3B4D" w:rsidRDefault="003D3B4D" w:rsidP="003D3B4D">
      <w:pPr>
        <w:spacing w:before="400" w:after="80" w:line="240" w:lineRule="auto"/>
        <w:jc w:val="both"/>
        <w:rPr>
          <w:b/>
          <w:sz w:val="24"/>
          <w:szCs w:val="24"/>
        </w:rPr>
      </w:pPr>
      <w:r w:rsidRPr="003D3B4D">
        <w:rPr>
          <w:b/>
          <w:sz w:val="24"/>
          <w:szCs w:val="24"/>
        </w:rPr>
        <w:t>Table of Contents Entry</w:t>
      </w:r>
    </w:p>
    <w:p w14:paraId="417C79C2" w14:textId="0AAAD4F8" w:rsidR="003D3B4D" w:rsidRPr="003D3B4D" w:rsidRDefault="003D3B4D" w:rsidP="003D3B4D">
      <w:pPr>
        <w:spacing w:before="400" w:after="80" w:line="240" w:lineRule="auto"/>
        <w:jc w:val="both"/>
        <w:rPr>
          <w:bCs/>
          <w:sz w:val="18"/>
          <w:szCs w:val="18"/>
        </w:rPr>
      </w:pPr>
      <w:r>
        <w:rPr>
          <w:bCs/>
          <w:noProof/>
          <w:sz w:val="18"/>
          <w:szCs w:val="18"/>
          <w14:ligatures w14:val="standardContextual"/>
        </w:rPr>
        <w:drawing>
          <wp:inline distT="0" distB="0" distL="0" distR="0" wp14:anchorId="56B8F75F" wp14:editId="7B18DE74">
            <wp:extent cx="6480175" cy="3221990"/>
            <wp:effectExtent l="0" t="0" r="0" b="0"/>
            <wp:docPr id="1164325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32597" name="Picture 11643259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7DBD8" w14:textId="77777777" w:rsidR="003D3B4D" w:rsidRPr="00022518" w:rsidRDefault="003D3B4D" w:rsidP="003D3B4D">
      <w:pPr>
        <w:spacing w:before="400" w:after="80" w:line="240" w:lineRule="auto"/>
        <w:jc w:val="both"/>
        <w:rPr>
          <w:bCs/>
          <w:sz w:val="18"/>
          <w:szCs w:val="18"/>
        </w:rPr>
      </w:pPr>
      <w:r w:rsidRPr="003D3B4D">
        <w:rPr>
          <w:bCs/>
          <w:sz w:val="18"/>
          <w:szCs w:val="18"/>
          <w:lang w:val="en-US"/>
        </w:rPr>
        <w:t xml:space="preserve">Barrierless entrance channels, excited states, and cycloadditions were observed for the bimolecular gas-phase reaction of the </w:t>
      </w:r>
      <w:proofErr w:type="spellStart"/>
      <w:r w:rsidRPr="003D3B4D">
        <w:rPr>
          <w:bCs/>
          <w:sz w:val="18"/>
          <w:szCs w:val="18"/>
          <w:lang w:val="en-US"/>
        </w:rPr>
        <w:t>phenylethynyl</w:t>
      </w:r>
      <w:proofErr w:type="spellEnd"/>
      <w:r w:rsidRPr="003D3B4D">
        <w:rPr>
          <w:bCs/>
          <w:sz w:val="18"/>
          <w:szCs w:val="18"/>
          <w:lang w:val="en-US"/>
        </w:rPr>
        <w:t xml:space="preserve"> radical (C</w:t>
      </w:r>
      <w:r w:rsidRPr="003D3B4D">
        <w:rPr>
          <w:bCs/>
          <w:sz w:val="18"/>
          <w:szCs w:val="18"/>
          <w:vertAlign w:val="subscript"/>
          <w:lang w:val="en-US"/>
        </w:rPr>
        <w:t>6</w:t>
      </w:r>
      <w:r w:rsidRPr="003D3B4D">
        <w:rPr>
          <w:bCs/>
          <w:sz w:val="18"/>
          <w:szCs w:val="18"/>
          <w:lang w:val="en-US"/>
        </w:rPr>
        <w:t>H</w:t>
      </w:r>
      <w:r w:rsidRPr="003D3B4D">
        <w:rPr>
          <w:bCs/>
          <w:sz w:val="18"/>
          <w:szCs w:val="18"/>
          <w:vertAlign w:val="subscript"/>
          <w:lang w:val="en-US"/>
        </w:rPr>
        <w:t>5</w:t>
      </w:r>
      <w:r w:rsidRPr="003D3B4D">
        <w:rPr>
          <w:bCs/>
          <w:sz w:val="18"/>
          <w:szCs w:val="18"/>
          <w:lang w:val="en-US"/>
        </w:rPr>
        <w:t>CC) with ethylene (C</w:t>
      </w:r>
      <w:r w:rsidRPr="003D3B4D">
        <w:rPr>
          <w:bCs/>
          <w:sz w:val="18"/>
          <w:szCs w:val="18"/>
          <w:vertAlign w:val="subscript"/>
          <w:lang w:val="en-US"/>
        </w:rPr>
        <w:t>2</w:t>
      </w:r>
      <w:r w:rsidRPr="003D3B4D">
        <w:rPr>
          <w:bCs/>
          <w:sz w:val="18"/>
          <w:szCs w:val="18"/>
          <w:lang w:val="en-US"/>
        </w:rPr>
        <w:t>H</w:t>
      </w:r>
      <w:r w:rsidRPr="003D3B4D">
        <w:rPr>
          <w:bCs/>
          <w:sz w:val="18"/>
          <w:szCs w:val="18"/>
          <w:vertAlign w:val="subscript"/>
          <w:lang w:val="en-US"/>
        </w:rPr>
        <w:t>4</w:t>
      </w:r>
      <w:r w:rsidRPr="003D3B4D">
        <w:rPr>
          <w:bCs/>
          <w:sz w:val="18"/>
          <w:szCs w:val="18"/>
          <w:lang w:val="en-US"/>
        </w:rPr>
        <w:t>) leading to the formation of polycyclic aromatic hydrocarbon naphthalene.</w:t>
      </w:r>
    </w:p>
    <w:p w14:paraId="706BEB1D" w14:textId="77777777" w:rsidR="0052496A" w:rsidRDefault="0052496A"/>
    <w:sectPr w:rsidR="0052496A" w:rsidSect="003D3B4D">
      <w:pgSz w:w="11907" w:h="16840" w:code="9"/>
      <w:pgMar w:top="1009" w:right="851" w:bottom="1758" w:left="851" w:header="851" w:footer="1049" w:gutter="0"/>
      <w:cols w:space="227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3B4D"/>
    <w:rsid w:val="000F6EB5"/>
    <w:rsid w:val="0039182D"/>
    <w:rsid w:val="003D3B4D"/>
    <w:rsid w:val="004F2AE9"/>
    <w:rsid w:val="0052496A"/>
    <w:rsid w:val="006C376C"/>
    <w:rsid w:val="009022F9"/>
    <w:rsid w:val="00AF21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DAD8CF9"/>
  <w14:defaultImageDpi w14:val="330"/>
  <w15:chartTrackingRefBased/>
  <w15:docId w15:val="{5CF2B3F8-D78E-488A-A40E-D9033CFD7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3D3B4D"/>
    <w:pPr>
      <w:spacing w:after="200" w:line="276" w:lineRule="auto"/>
    </w:pPr>
    <w:rPr>
      <w:rFonts w:eastAsiaTheme="minorHAnsi"/>
      <w:kern w:val="0"/>
      <w:sz w:val="22"/>
      <w:szCs w:val="22"/>
      <w:lang w:val="en-GB" w:eastAsia="en-US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3D3B4D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:lang w:val="en-US" w:eastAsia="ja-JP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D3B4D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:lang w:val="en-US" w:eastAsia="ja-JP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D3B4D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:lang w:val="en-US" w:eastAsia="ja-JP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D3B4D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:lang w:val="en-US" w:eastAsia="ja-JP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D3B4D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:lang w:val="en-US" w:eastAsia="ja-JP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D3B4D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en-US" w:eastAsia="ja-JP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D3B4D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en-US" w:eastAsia="ja-JP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D3B4D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en-US" w:eastAsia="ja-JP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D3B4D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en-US" w:eastAsia="ja-JP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D3B4D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D3B4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D3B4D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D3B4D"/>
    <w:rPr>
      <w:rFonts w:eastAsiaTheme="majorEastAsia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D3B4D"/>
    <w:rPr>
      <w:rFonts w:eastAsiaTheme="majorEastAsia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D3B4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D3B4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D3B4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D3B4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D3B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ja-JP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3D3B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D3B4D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en-US" w:eastAsia="ja-JP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3D3B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D3B4D"/>
    <w:pPr>
      <w:spacing w:before="160" w:after="160" w:line="278" w:lineRule="auto"/>
      <w:jc w:val="center"/>
    </w:pPr>
    <w:rPr>
      <w:rFonts w:eastAsiaTheme="minorEastAsia"/>
      <w:i/>
      <w:iCs/>
      <w:color w:val="404040" w:themeColor="text1" w:themeTint="BF"/>
      <w:kern w:val="2"/>
      <w:sz w:val="24"/>
      <w:szCs w:val="24"/>
      <w:lang w:val="en-US" w:eastAsia="ja-JP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3D3B4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D3B4D"/>
    <w:pPr>
      <w:spacing w:after="160" w:line="278" w:lineRule="auto"/>
      <w:ind w:left="720"/>
      <w:contextualSpacing/>
    </w:pPr>
    <w:rPr>
      <w:rFonts w:eastAsiaTheme="minorEastAsia"/>
      <w:kern w:val="2"/>
      <w:sz w:val="24"/>
      <w:szCs w:val="24"/>
      <w:lang w:val="en-US" w:eastAsia="ja-JP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3D3B4D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D3B4D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 w:line="278" w:lineRule="auto"/>
      <w:ind w:left="864" w:right="864"/>
      <w:jc w:val="center"/>
    </w:pPr>
    <w:rPr>
      <w:rFonts w:eastAsiaTheme="minorEastAsia"/>
      <w:i/>
      <w:iCs/>
      <w:color w:val="2E74B5" w:themeColor="accent1" w:themeShade="BF"/>
      <w:kern w:val="2"/>
      <w:sz w:val="24"/>
      <w:szCs w:val="24"/>
      <w:lang w:val="en-US" w:eastAsia="ja-JP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D3B4D"/>
    <w:rPr>
      <w:i/>
      <w:iCs/>
      <w:color w:val="2E74B5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D3B4D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</Words>
  <Characters>237</Characters>
  <Application>Microsoft Office Word</Application>
  <DocSecurity>0</DocSecurity>
  <Lines>1</Lines>
  <Paragraphs>1</Paragraphs>
  <ScaleCrop>false</ScaleCrop>
  <Company/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Shane G</dc:creator>
  <cp:keywords/>
  <dc:description/>
  <cp:lastModifiedBy>Shane G</cp:lastModifiedBy>
  <cp:revision>1</cp:revision>
  <dcterms:created xsi:type="dcterms:W3CDTF">2025-09-26T19:48:00Z</dcterms:created>
  <dcterms:modified xsi:type="dcterms:W3CDTF">2025-09-26T19:51:00Z</dcterms:modified>
</cp:coreProperties>
</file>